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A7" w:rsidRPr="005672A7" w:rsidRDefault="005672A7" w:rsidP="005672A7">
      <w:pPr>
        <w:spacing w:after="0" w:line="375" w:lineRule="atLeast"/>
        <w:outlineLvl w:val="0"/>
        <w:rPr>
          <w:rFonts w:ascii="Arial" w:eastAsia="Times New Roman" w:hAnsi="Arial" w:cs="Arial"/>
          <w:b/>
          <w:bCs/>
          <w:color w:val="545454"/>
          <w:kern w:val="36"/>
          <w:sz w:val="33"/>
          <w:szCs w:val="33"/>
          <w:lang w:eastAsia="ru-RU"/>
        </w:rPr>
      </w:pPr>
      <w:bookmarkStart w:id="0" w:name="_GoBack"/>
      <w:bookmarkEnd w:id="0"/>
      <w:r w:rsidRPr="005672A7">
        <w:rPr>
          <w:rFonts w:ascii="Arial" w:eastAsia="Times New Roman" w:hAnsi="Arial" w:cs="Arial"/>
          <w:b/>
          <w:bCs/>
          <w:color w:val="545454"/>
          <w:kern w:val="36"/>
          <w:sz w:val="33"/>
          <w:szCs w:val="33"/>
          <w:lang w:eastAsia="ru-RU"/>
        </w:rPr>
        <w:t>Язвенная болезнь</w:t>
      </w:r>
    </w:p>
    <w:p w:rsidR="005672A7" w:rsidRPr="005672A7" w:rsidRDefault="0056448A" w:rsidP="0056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6A7F" w:rsidRDefault="005672A7" w:rsidP="005672A7">
      <w:r w:rsidRPr="005672A7">
        <w:rPr>
          <w:rFonts w:ascii="Arial" w:eastAsia="Times New Roman" w:hAnsi="Arial" w:cs="Arial"/>
          <w:i/>
          <w:iCs/>
          <w:color w:val="000000"/>
          <w:lang w:eastAsia="ru-RU"/>
        </w:rPr>
        <w:t>1. Определение</w:t>
      </w:r>
      <w:r w:rsidRPr="005672A7">
        <w:rPr>
          <w:rFonts w:ascii="Arial" w:eastAsia="Times New Roman" w:hAnsi="Arial" w:cs="Arial"/>
          <w:color w:val="000000"/>
          <w:lang w:eastAsia="ru-RU"/>
        </w:rPr>
        <w:t> Язвенная болезнь - хроническое рецидивирующее заболевание, склонное к прогрессированию, с вовлечением в патологический процесс наряду с желудком и двенадцатиперстной кишкой других органов системы пищеварения, развитию осложнений, угрожающих жизни больного. Заболевание возникает вследствие расстройств нейрогуморальной и эндокринной регуляции, секреторных и моторных процессов, а также нарушений защитных механизмов слизистой оболочки этих органов.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i/>
          <w:iCs/>
          <w:color w:val="000000"/>
          <w:lang w:eastAsia="ru-RU"/>
        </w:rPr>
        <w:t>2. Этиология</w:t>
      </w:r>
      <w:r w:rsidRPr="005672A7">
        <w:rPr>
          <w:rFonts w:ascii="Arial" w:eastAsia="Times New Roman" w:hAnsi="Arial" w:cs="Arial"/>
          <w:color w:val="000000"/>
          <w:lang w:eastAsia="ru-RU"/>
        </w:rPr>
        <w:t> Факторы: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1) длительное и часто повторяющееся нервно-эмоциональное перенапряжение (стресс);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2) генетическая предрасположенность, в том числе стойкое повышение кислотности желудочного сока;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3) другие наследственно-конституциональные особенности (О(1) группа крови; HLA-В5-антиген; снижение активности -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антитрипсина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);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4) наличие хронического гастрита, дуоденита, функциональных нарушений желудка и двенадцатиперстной кишки;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5) нарушение режима питания;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6) курение и употребление спиртных напитков;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7) употребление некоторых лекарственных препаратов, обладающих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ульцерогенными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свойствами (аспирин,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бутадион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индометацин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).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i/>
          <w:iCs/>
          <w:color w:val="000000"/>
          <w:lang w:eastAsia="ru-RU"/>
        </w:rPr>
        <w:t>3. Патология</w:t>
      </w:r>
      <w:r w:rsidRPr="005672A7">
        <w:rPr>
          <w:rFonts w:ascii="Arial" w:eastAsia="Times New Roman" w:hAnsi="Arial" w:cs="Arial"/>
          <w:color w:val="000000"/>
          <w:lang w:eastAsia="ru-RU"/>
        </w:rPr>
        <w:t> </w:t>
      </w:r>
      <w:r w:rsidRPr="005672A7">
        <w:rPr>
          <w:rFonts w:ascii="Arial" w:eastAsia="Times New Roman" w:hAnsi="Arial" w:cs="Arial"/>
          <w:i/>
          <w:iCs/>
          <w:color w:val="000000"/>
          <w:lang w:eastAsia="ru-RU"/>
        </w:rPr>
        <w:t>Патогенез</w:t>
      </w:r>
      <w:r w:rsidRPr="005672A7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 w:rsidRPr="005672A7">
        <w:rPr>
          <w:rFonts w:ascii="Arial" w:eastAsia="Times New Roman" w:hAnsi="Arial" w:cs="Arial"/>
          <w:color w:val="000000"/>
          <w:lang w:eastAsia="ru-RU"/>
        </w:rPr>
        <w:t> Под воздействием этиологических факторов происходит нарушение нейроэндокринной регуляции секреторной, моторной, инкреторной функции желудка и двенадцатиперстной кишки с повышением активности парасимпатического отдела вегетативной нервной системы.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Ваготония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обусловливает нарушение моторики и способствует усилению секреции желудочного сока, повышению активности агрессивных факторов. Также происходит увеличение уровня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гастрина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в связи с повышением секреции кортизола надпочечниками в результате нейроэндокринных нарушений.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Снижается регенераторная способность слизистой оболочки: защитная функция ее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муколитического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барьера становится менее современной в связи с уменьшением выделения слизи, что способствует развитию повреждений слизистой оболочки.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Существенная роль в развитии язвенной болезни отводится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Нelicobacter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pylori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. НР, попадая в организм, расселяются преимущественно в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антральном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отделе желудка, что приводит к развитию активного хронического воспаления вследствие выделения ими ряда протеолитических ферментов (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уреаза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, каталаза, оксидаза и др.) и токсинов. Происходит разрушение защитного слоя слизистой оболочки и ее повреждение. Одновременно развивается нарушение моторики желудка, при котором происходит ранний заброс кислого желудочного содержимого в двенадцатиперстную кишку, что приводит к "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закислению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" содержимого луковицы. Кроме того, персистенция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Нelicobakter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pylari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способствует развитию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гипергастринемии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, которая при имеющейся исходно высокой кислотности усугубляет ее и ускоряет сброс содержимого в двенадцатиперстную кишку.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i/>
          <w:iCs/>
          <w:color w:val="000000"/>
          <w:lang w:eastAsia="ru-RU"/>
        </w:rPr>
        <w:t>4. Классификация:</w:t>
      </w:r>
      <w:r w:rsidRPr="005672A7">
        <w:rPr>
          <w:rFonts w:ascii="Arial" w:eastAsia="Times New Roman" w:hAnsi="Arial" w:cs="Arial"/>
          <w:color w:val="000000"/>
          <w:lang w:eastAsia="ru-RU"/>
        </w:rPr>
        <w:t> 1) по химико-морфологическим признакам: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- язвенная болезнь желудка;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- язвенная болезнь двенадцатиперстной кишки;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2) по форме: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- впервые выявленная;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- рецидивирующая;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3) по локализации: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- поражение кардиальной части;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- малой кривизны желудка;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color w:val="000000"/>
          <w:lang w:eastAsia="ru-RU"/>
        </w:rPr>
        <w:lastRenderedPageBreak/>
        <w:t xml:space="preserve">-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препилорического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отдела желудка;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- луковицы двенадцатиперстной кишки;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-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внелуковичного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отдела (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постбульбарные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язвы);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4) по фазам течения: обострение, стихающее обострение, ремиссия;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5) по тяжести течения: доброкачественное, затяжное (стабильное), прогрессирующее;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6) по наличию осложнений: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- осложненная;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- неосложненная.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i/>
          <w:iCs/>
          <w:color w:val="000000"/>
          <w:lang w:eastAsia="ru-RU"/>
        </w:rPr>
        <w:t>5. Клиника</w:t>
      </w:r>
      <w:r w:rsidRPr="005672A7">
        <w:rPr>
          <w:rFonts w:ascii="Arial" w:eastAsia="Times New Roman" w:hAnsi="Arial" w:cs="Arial"/>
          <w:color w:val="000000"/>
          <w:lang w:eastAsia="ru-RU"/>
        </w:rPr>
        <w:t> Клинические проявления язвенной болезни отличаются многообразием и зависят от фазы течения, клинико-морфологического варианта, наличия осложнений.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i/>
          <w:iCs/>
          <w:color w:val="000000"/>
          <w:lang w:eastAsia="ru-RU"/>
        </w:rPr>
        <w:t>6. Язвенная болезнь желудка</w:t>
      </w:r>
      <w:r w:rsidRPr="005672A7">
        <w:rPr>
          <w:rFonts w:ascii="Arial" w:eastAsia="Times New Roman" w:hAnsi="Arial" w:cs="Arial"/>
          <w:color w:val="000000"/>
          <w:lang w:eastAsia="ru-RU"/>
        </w:rPr>
        <w:t> Встречается у людей зрелого возраста, как правило - у мужчин.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Основные синдромы язвенной болезни желудка: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1) болевой синдром. Боли в верхней половине живота, эпигастральной области, могут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иррадиировать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за грудину, в левое плечо, напоминать стенокардические боли.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Для язв малой кривизны желудка характерен четкий ритм болей: возникают через 15-60 мин после еды, особенно при погрешности в диете. О язве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антрального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отдела свидетельствуют "голодные", ночные, поздние (через 2-3 ч после еды) боли. При язвах пилорической части боли интенсивные, не связанные с приемом пищи;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2) синдром желудочной диспепсии: проявляется отрыжкой воздухом, пищей, срыгиванием; тошнота и рвота часто отмечаются при язвах привратника;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3) синдром кишечной диспепсии: запоры, сочетающиеся с болями по ходу толстой кишки и вздутием живота;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4) астеновегетативный синдром.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Осложнения: наклонность к кровотечениям характерна для язвы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антрального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отдела желудка - у молодых, у пожилых - настороженность в отношении малигнизации язвы желудка.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i/>
          <w:iCs/>
          <w:color w:val="000000"/>
          <w:lang w:eastAsia="ru-RU"/>
        </w:rPr>
        <w:t>7. Язвенная болезнь двенадцатиперстной кишки</w:t>
      </w:r>
      <w:r w:rsidRPr="005672A7">
        <w:rPr>
          <w:rFonts w:ascii="Arial" w:eastAsia="Times New Roman" w:hAnsi="Arial" w:cs="Arial"/>
          <w:color w:val="000000"/>
          <w:lang w:eastAsia="ru-RU"/>
        </w:rPr>
        <w:t> Встречается преимущественно у молодых мужчин.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Основные синдромы: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1) болевой синдром: боли возникают через 1,5-3 ч после еды (поздние боли), часто натощак (голодные боли) и ночные боли, проходят после приема пищи и щелочей. Отчетливо проявляется сезонность болей (обострение весной и осенью). Четкой локализации болей не отмечается: они могут быть в подложечной области, правом верхнем квадранте живота, около пупка и т. д. Иррадиация их также разнообразна;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2) синдром желудочной диспепсии. Рвота - на высоте болей, приносит облегчение. Ранний синдром - изжога, отрыжка кислым реже, возникает чаще после приема пищи;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3) синдром кишечной диспепсии: запоры, обусловленные нарушением моторики кишечника;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4) астеновегетативный синдром - очень выражен.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Осложнения: кровотечение,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пенетрация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язвы в близлежащие органы (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pancreas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), малигнизация.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i/>
          <w:iCs/>
          <w:color w:val="000000"/>
          <w:lang w:eastAsia="ru-RU"/>
        </w:rPr>
        <w:t>8. Лечение</w:t>
      </w:r>
      <w:r w:rsidRPr="005672A7">
        <w:rPr>
          <w:rFonts w:ascii="Arial" w:eastAsia="Times New Roman" w:hAnsi="Arial" w:cs="Arial"/>
          <w:color w:val="000000"/>
          <w:lang w:eastAsia="ru-RU"/>
        </w:rPr>
        <w:t xml:space="preserve"> 1. Устранение факторов, способствующих рецидиву болезни, предусматривает организацию регулярного питания, оптимизацию условий труда и быта, категорический отказ от курения и алкоголя, применения лекарственных препаратов, обладающих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ульцерогенными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свойствами.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2. Лечебное питание - соблюдаются принципы механического и термического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щажения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(стол № 2).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3. Лекарственная терапия:</w:t>
      </w:r>
      <w:r w:rsidRPr="005672A7">
        <w:rPr>
          <w:rFonts w:ascii="Arial" w:eastAsia="Times New Roman" w:hAnsi="Arial" w:cs="Arial"/>
          <w:color w:val="000000"/>
          <w:lang w:eastAsia="ru-RU"/>
        </w:rPr>
        <w:br/>
      </w:r>
      <w:r w:rsidRPr="005672A7">
        <w:rPr>
          <w:rFonts w:ascii="Arial" w:eastAsia="Times New Roman" w:hAnsi="Arial" w:cs="Arial"/>
          <w:color w:val="000000"/>
          <w:lang w:eastAsia="ru-RU"/>
        </w:rPr>
        <w:lastRenderedPageBreak/>
        <w:t xml:space="preserve">1) подавление избыточной продукции соляной кислоты и пепсина (атропин,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метацин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платифиллин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омез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ранитидин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);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2) восстановление моторно-эвакуаторной функции желудка и двенадцатиперстной кишки (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церукал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мотилиум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);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3) защита слизистой оболочки желудка и двенадцатиперстной кишки (препараты висмута - де-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нол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сукралфат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);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4) лечение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хеликобактериоза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антихеликобактериальные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схемы: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-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Омез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+ Де-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нол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+ амоксициллин;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-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Омез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+ Де-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нол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+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кларитромицин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 xml:space="preserve">-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Омез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+ Де-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нол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 + амоксициллин +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метронидазол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5) стимуляция процессов регенерации клеточных элементов (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вентер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солкосерил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метилурацил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). Аналоги простагландинов -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риопростил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72A7">
        <w:rPr>
          <w:rFonts w:ascii="Arial" w:eastAsia="Times New Roman" w:hAnsi="Arial" w:cs="Arial"/>
          <w:color w:val="000000"/>
          <w:lang w:eastAsia="ru-RU"/>
        </w:rPr>
        <w:t>энпростил</w:t>
      </w:r>
      <w:proofErr w:type="spellEnd"/>
      <w:r w:rsidRPr="005672A7">
        <w:rPr>
          <w:rFonts w:ascii="Arial" w:eastAsia="Times New Roman" w:hAnsi="Arial" w:cs="Arial"/>
          <w:color w:val="000000"/>
          <w:lang w:eastAsia="ru-RU"/>
        </w:rPr>
        <w:t>;</w:t>
      </w:r>
      <w:r w:rsidRPr="005672A7">
        <w:rPr>
          <w:rFonts w:ascii="Arial" w:eastAsia="Times New Roman" w:hAnsi="Arial" w:cs="Arial"/>
          <w:color w:val="000000"/>
          <w:lang w:eastAsia="ru-RU"/>
        </w:rPr>
        <w:br/>
        <w:t>6) физические методы лечения - вне обострения (озокерит, аппликации парафина).</w:t>
      </w:r>
    </w:p>
    <w:sectPr w:rsidR="00A0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A7"/>
    <w:rsid w:val="00283E44"/>
    <w:rsid w:val="00473818"/>
    <w:rsid w:val="0056448A"/>
    <w:rsid w:val="005672A7"/>
    <w:rsid w:val="00A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110D-B6E6-448E-A40C-CB5314CF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2020-04-16T04:26:00Z</dcterms:created>
  <dcterms:modified xsi:type="dcterms:W3CDTF">2020-04-16T04:26:00Z</dcterms:modified>
</cp:coreProperties>
</file>